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7F0C" w14:textId="4F78E0DC" w:rsidR="00D37105" w:rsidRDefault="00D37105" w:rsidP="00D37105">
      <w:pPr>
        <w:pStyle w:val="a3"/>
        <w:shd w:val="clear" w:color="auto" w:fill="FFFFFF"/>
        <w:spacing w:before="0" w:beforeAutospacing="0" w:after="150" w:afterAutospacing="0"/>
        <w:jc w:val="center"/>
        <w:rPr>
          <w:rFonts w:ascii="Roboto" w:hAnsi="Roboto"/>
          <w:color w:val="3C3C3C"/>
          <w:sz w:val="27"/>
          <w:szCs w:val="27"/>
        </w:rPr>
      </w:pPr>
      <w:bookmarkStart w:id="0" w:name="_GoBack"/>
      <w:bookmarkEnd w:id="0"/>
      <w:r>
        <w:rPr>
          <w:rFonts w:ascii="Roboto" w:hAnsi="Roboto"/>
          <w:b/>
          <w:bCs/>
          <w:noProof/>
          <w:color w:val="428BCA"/>
          <w:sz w:val="27"/>
          <w:szCs w:val="27"/>
        </w:rPr>
        <w:drawing>
          <wp:inline distT="0" distB="0" distL="0" distR="0" wp14:anchorId="1AD82295" wp14:editId="3D5A6246">
            <wp:extent cx="1905000" cy="1419225"/>
            <wp:effectExtent l="0" t="0" r="0" b="9525"/>
            <wp:docPr id="1662963360" name="Рисунок 1" descr="Министерство труда и социальной защиты РФ">
              <a:hlinkClick xmlns:a="http://schemas.openxmlformats.org/drawingml/2006/main" r:id="rId4" tooltip="&quot;Министерство труда и социальной защиты Р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 труда и социальной защиты РФ">
                      <a:hlinkClick r:id="rId4" tooltip="&quot;Министерство труда и социальной защиты РФ&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14:paraId="311DF628" w14:textId="77777777" w:rsidR="00D37105" w:rsidRDefault="00D37105" w:rsidP="00D37105">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Разъяснения 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2014г. №10</w:t>
      </w:r>
    </w:p>
    <w:p w14:paraId="65792DAD" w14:textId="77777777" w:rsidR="00D37105" w:rsidRDefault="00D37105" w:rsidP="00D37105">
      <w:pPr>
        <w:pStyle w:val="a3"/>
        <w:shd w:val="clear" w:color="auto" w:fill="FFFFFF"/>
        <w:spacing w:before="0" w:beforeAutospacing="0" w:after="150" w:afterAutospacing="0"/>
        <w:jc w:val="center"/>
        <w:rPr>
          <w:rFonts w:ascii="Roboto" w:hAnsi="Roboto"/>
          <w:color w:val="3C3C3C"/>
          <w:sz w:val="27"/>
          <w:szCs w:val="27"/>
        </w:rPr>
      </w:pPr>
      <w:r>
        <w:rPr>
          <w:rFonts w:ascii="Roboto" w:hAnsi="Roboto"/>
          <w:color w:val="3C3C3C"/>
          <w:sz w:val="27"/>
          <w:szCs w:val="27"/>
        </w:rPr>
        <w:t>Москва, 2020</w:t>
      </w:r>
    </w:p>
    <w:p w14:paraId="74DA3B2F" w14:textId="77777777" w:rsidR="00D37105" w:rsidRDefault="00D37105" w:rsidP="00D37105">
      <w:pPr>
        <w:pStyle w:val="a3"/>
        <w:shd w:val="clear" w:color="auto" w:fill="FFFFFF"/>
        <w:spacing w:before="0" w:beforeAutospacing="0" w:after="150" w:afterAutospacing="0"/>
        <w:jc w:val="right"/>
        <w:rPr>
          <w:rFonts w:ascii="Roboto" w:hAnsi="Roboto"/>
          <w:color w:val="3C3C3C"/>
          <w:sz w:val="27"/>
          <w:szCs w:val="27"/>
        </w:rPr>
      </w:pPr>
      <w:r>
        <w:rPr>
          <w:rFonts w:ascii="Roboto" w:hAnsi="Roboto"/>
          <w:color w:val="3C3C3C"/>
          <w:sz w:val="27"/>
          <w:szCs w:val="27"/>
        </w:rPr>
        <w:t>От подарка до взятки – один шаг</w:t>
      </w:r>
    </w:p>
    <w:p w14:paraId="731D652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Общие положения</w:t>
      </w:r>
    </w:p>
    <w:p w14:paraId="49BE2C0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1.Гражданский кодекс Российской Федерации[1]не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
    <w:p w14:paraId="1FAB3467"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14:paraId="0606079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 не предусмотренных законодательством Российской Федерации подарков от физических и юридических лиц.</w:t>
      </w:r>
    </w:p>
    <w:p w14:paraId="305D2FB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2.Применительно к настоящим разъяснениям:</w:t>
      </w:r>
    </w:p>
    <w:p w14:paraId="01FBC0B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14:paraId="321C17E6"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
    <w:p w14:paraId="7ACDA4FA"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2014г. №10 (далее – Типовое положение, постановление Правительства Российской Федерации №10), и предусмотренные в нем процедуры не распространяются на:</w:t>
      </w:r>
    </w:p>
    <w:p w14:paraId="3E3EF42C"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14:paraId="1029FE7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2)цветы, к которым можно отнести срезанные цветы, цветы в горшках, цветочные корзины, искусственные цветы и т.п.;</w:t>
      </w:r>
    </w:p>
    <w:p w14:paraId="361339AD"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3)подарки, в том числе ценные, вручаемые (получаемые) в качестве поощрения (награды) от имени государственного (муниципального) органа,организации,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14:paraId="1A9868A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В этой связи, уведомлять о получении и сдавать вышеуказанные подарки не требуется, они являются собственностью одаряемого. В </w:t>
      </w:r>
      <w:r>
        <w:rPr>
          <w:rFonts w:ascii="Roboto" w:hAnsi="Roboto"/>
          <w:color w:val="3C3C3C"/>
          <w:sz w:val="27"/>
          <w:szCs w:val="27"/>
        </w:rPr>
        <w:lastRenderedPageBreak/>
        <w:t>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14:paraId="63F3C17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14:paraId="195189D6"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14:paraId="6821928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5.При применении настоящих разъяснений необходимо обратить внимание и учитывать положения Рекомендаций по соблюдению государственными (муниципальными) служащими норм этики в целях противодействия коррупции и иным правонарушениям, подготовленных Минтрудом России и опубликованных на официальном сайте Министерства.</w:t>
      </w:r>
    </w:p>
    <w:p w14:paraId="6AFF69A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14:paraId="638554B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6.Типовым положением определен следующий субъектный состав лиц, на которых распространяется его действие:</w:t>
      </w:r>
    </w:p>
    <w:p w14:paraId="0D0F753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1)лица,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14:paraId="25101061"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2)государственные и муниципальные служащие;</w:t>
      </w:r>
    </w:p>
    <w:p w14:paraId="74510D76"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14:paraId="647E58DB"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организаций[2];</w:t>
      </w:r>
    </w:p>
    <w:p w14:paraId="5E23C676"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14:paraId="1D81953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6)служащие Банка России.</w:t>
      </w:r>
    </w:p>
    <w:p w14:paraId="0F45BACB"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14:paraId="011BBB7E"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7.Для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2015г. №159-рп (распоряжение Президента Российской Федерации №159-рп).</w:t>
      </w:r>
    </w:p>
    <w:p w14:paraId="1FF477AA"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8.Для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2015г. №1088</w:t>
      </w:r>
      <w:r>
        <w:rPr>
          <w:rFonts w:ascii="Roboto" w:hAnsi="Roboto"/>
          <w:color w:val="3C3C3C"/>
          <w:sz w:val="27"/>
          <w:szCs w:val="27"/>
        </w:rPr>
        <w:br/>
        <w:t>(далее – постановление Правительства Российской Федерации №1088).</w:t>
      </w:r>
    </w:p>
    <w:p w14:paraId="009F72A7"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9.Руководствуясь пунктами 5 и 6 постановления Правительства Российской Федерации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пунктах 7 и 8 настоящих разъяснений.</w:t>
      </w:r>
    </w:p>
    <w:p w14:paraId="7FFE30FE"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Разъяснения по отдельным вопросам</w:t>
      </w:r>
    </w:p>
    <w:p w14:paraId="55AA6AEF"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Уведомление о получении подарка</w:t>
      </w:r>
    </w:p>
    <w:p w14:paraId="05D53AC1"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10.Уведомление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непозднее 3 рабочих дней со дня возвращения из служебной командировки[3].</w:t>
      </w:r>
    </w:p>
    <w:p w14:paraId="603BAF1D"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14:paraId="6CB9E3CB"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11.Уведомление составляется в двух экземплярах[4]. Данные уведомления подаются в уполномоченное структурное подразделение </w:t>
      </w:r>
      <w:r>
        <w:rPr>
          <w:rFonts w:ascii="Roboto" w:hAnsi="Roboto"/>
          <w:color w:val="3C3C3C"/>
          <w:sz w:val="27"/>
          <w:szCs w:val="27"/>
        </w:rPr>
        <w:lastRenderedPageBreak/>
        <w:t>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14:paraId="3264D10B"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(пункты 1 и 5 распоряжения Президента Российской Федерации №159-рп).</w:t>
      </w:r>
    </w:p>
    <w:p w14:paraId="60B454DB"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12.При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уведомлению[5].</w:t>
      </w:r>
    </w:p>
    <w:p w14:paraId="012848CD"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случае наличия документов, согласно которым стоимость подарка составляет менее трех тысяч рублей либо равнауказанной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пункте 18 настоящих разъяснений.</w:t>
      </w:r>
    </w:p>
    <w:p w14:paraId="017DA1E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13.Уведомление регистрируется в журнале регистрации уведомлений получении о подарка, который прошивается, нумеруется и скрепляется печатью государственного (муниципального) органа, организации[6]. Одно уведомление может содержать информацию о нескольких подарках.</w:t>
      </w:r>
    </w:p>
    <w:p w14:paraId="4BB84AE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14.После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активов)[7].</w:t>
      </w:r>
    </w:p>
    <w:p w14:paraId="781E18D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15.На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№10.</w:t>
      </w:r>
    </w:p>
    <w:p w14:paraId="35AB623F"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16.Должностному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14:paraId="0AE4CDA7"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p>
    <w:p w14:paraId="06B22D1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Сдача подарка</w:t>
      </w:r>
    </w:p>
    <w:p w14:paraId="7C780E96"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17.Обязательной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документами[8].</w:t>
      </w:r>
    </w:p>
    <w:p w14:paraId="24D484C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18.Особенности сдачи подарков для отдельных категорий лиц установлены распоряжением Президента Российской Федерации</w:t>
      </w:r>
      <w:r>
        <w:rPr>
          <w:rFonts w:ascii="Roboto" w:hAnsi="Roboto"/>
          <w:color w:val="3C3C3C"/>
          <w:sz w:val="27"/>
          <w:szCs w:val="27"/>
        </w:rPr>
        <w:br/>
        <w:t>№159-рп и постановлением Правительства Российской Федерации №1088. Лица, замещающие государственную (муниципальную) должность, обязаны сдать подарок независимо от его стоимости[9].</w:t>
      </w:r>
    </w:p>
    <w:p w14:paraId="07F6C2E7"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19.Процедура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w:t>
      </w:r>
      <w:r>
        <w:rPr>
          <w:rFonts w:ascii="Roboto" w:hAnsi="Roboto"/>
          <w:color w:val="3C3C3C"/>
          <w:sz w:val="27"/>
          <w:szCs w:val="27"/>
        </w:rPr>
        <w:lastRenderedPageBreak/>
        <w:t>журнале[10].В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14:paraId="209FCE0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14:paraId="2DAF4ED7"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Лицами, указанными в пункте 8 настоящих разъяснений, полученный подарок должен быть сдан не позднее 3 рабочих дней со дня его получения[11].</w:t>
      </w:r>
    </w:p>
    <w:p w14:paraId="39704A59"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20.После подписания акта приема-передачи подарок подлежит поставке на учет в соответствии с пунктом 22настоящих разъяснений.</w:t>
      </w:r>
    </w:p>
    <w:p w14:paraId="23E113AC"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21.До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подарок[12]. В случае если сдаваемый подарок поврежден, информацию об этом необходимо указать в акте приема-передачи.</w:t>
      </w:r>
    </w:p>
    <w:p w14:paraId="0CBC711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14:paraId="344A933C"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Учет подарка</w:t>
      </w:r>
    </w:p>
    <w:p w14:paraId="2BFF3A8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22.До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w:t>
      </w:r>
    </w:p>
    <w:p w14:paraId="7974ABFF"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w:t>
      </w:r>
      <w:r>
        <w:rPr>
          <w:rFonts w:ascii="Roboto" w:hAnsi="Roboto"/>
          <w:color w:val="3C3C3C"/>
          <w:sz w:val="27"/>
          <w:szCs w:val="27"/>
        </w:rPr>
        <w:br/>
        <w:t xml:space="preserve">(до определения стоимости подарка). В целях обеспечения надлежащего контроля учет следует осуществлять по цене, указанной в уведомлении. </w:t>
      </w:r>
      <w:r>
        <w:rPr>
          <w:rFonts w:ascii="Roboto" w:hAnsi="Roboto"/>
          <w:color w:val="3C3C3C"/>
          <w:sz w:val="27"/>
          <w:szCs w:val="27"/>
        </w:rPr>
        <w:lastRenderedPageBreak/>
        <w:t>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14:paraId="0BF751DF"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23.При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14:paraId="2A0C91C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24.Основанием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14:paraId="3F41813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25.Определение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14:paraId="4F0719D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26.В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14:paraId="5E76EE1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27.Возврат подарка оформляется соответствующим актом возврата подарка.</w:t>
      </w:r>
    </w:p>
    <w:p w14:paraId="139825BF"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Выкуп подарка</w:t>
      </w:r>
    </w:p>
    <w:p w14:paraId="4EECD7DE"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28.Право выкупа подарка может быть реализовано должностным лицом, сдавшим подарок, в течение двух месяцев со дня сдачи его по акту приема-передачи подарка[13].</w:t>
      </w:r>
    </w:p>
    <w:p w14:paraId="6F22446D"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29.Заявление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государственного(муниципального) органа (актом организации), издание которых предусмотрено пунктами 5 и 6 постановления Правительства Российской Федерации №10).</w:t>
      </w:r>
    </w:p>
    <w:p w14:paraId="10A7EF3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30.После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14:paraId="15905D0F"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31.В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1998г. № 135-ФЗ "Об оценочной деятельности в Российской Федерации" и должна быть завершена в течение 3 месяцев со дня поступления заявления о выкупе подарка[14].</w:t>
      </w:r>
    </w:p>
    <w:p w14:paraId="5E4EC0A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32.Лицо,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выкупа[15].</w:t>
      </w:r>
    </w:p>
    <w:p w14:paraId="0E415CA0"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33.В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w:t>
      </w:r>
    </w:p>
    <w:p w14:paraId="7C8B2210"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Порядок действий при получении подарка, изготовленного из драгоценных металлов и (или) драгоценных камней</w:t>
      </w:r>
    </w:p>
    <w:p w14:paraId="00A6CC0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34.В случае если в отношении подарка, изготовленного из драгоценных металлов и (или) драгоценных камней, не поступило от должностного </w:t>
      </w:r>
      <w:r>
        <w:rPr>
          <w:rFonts w:ascii="Roboto" w:hAnsi="Roboto"/>
          <w:color w:val="3C3C3C"/>
          <w:sz w:val="27"/>
          <w:szCs w:val="27"/>
        </w:rPr>
        <w:lastRenderedPageBreak/>
        <w:t>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России)[16].</w:t>
      </w:r>
    </w:p>
    <w:p w14:paraId="19ED168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35.Информация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w:t>
      </w:r>
    </w:p>
    <w:p w14:paraId="3785526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36.Уполномоченное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14:paraId="10B6B18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37.При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w:t>
      </w:r>
    </w:p>
    <w:p w14:paraId="4BC4D56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38.Передача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14:paraId="593B3F4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14:paraId="50F6B05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39.В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14:paraId="22D748D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40.Гохран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14:paraId="3811BD57"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41.В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2004г. №38н, выявится, что подарок не содержит в себе более 10% драгоценных металлов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14:paraId="1B9981A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14:paraId="6B0FD5B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42.При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14:paraId="59866C20"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14:paraId="14EEECB5"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14:paraId="2CFB9081"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14:paraId="49E379E8"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43.Датой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14:paraId="36C89957"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44.Исходя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w:t>
      </w:r>
      <w:r>
        <w:rPr>
          <w:rFonts w:ascii="Roboto" w:hAnsi="Roboto"/>
          <w:color w:val="3C3C3C"/>
          <w:sz w:val="27"/>
          <w:szCs w:val="27"/>
        </w:rPr>
        <w:lastRenderedPageBreak/>
        <w:t>приято решение об использования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организацию[17].</w:t>
      </w:r>
    </w:p>
    <w:p w14:paraId="48AF733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45.Решение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Федерации[18].</w:t>
      </w:r>
    </w:p>
    <w:p w14:paraId="0DE34824"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Pr>
          <w:rFonts w:ascii="Roboto" w:hAnsi="Roboto"/>
          <w:color w:val="3C3C3C"/>
          <w:sz w:val="27"/>
          <w:szCs w:val="27"/>
        </w:rPr>
        <w:br/>
        <w:t>от 21 декабря 2001г.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14:paraId="63535409"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14:paraId="0ECBB7A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46.При принятии решения о реализации (передаче)подарка, его выбытие с бухгалтерского учета осуществляется по соответствующим счетам аналитического учета счета 10800«Нефинансовые активы имущества казны» по оценочной стоимости (максимальной цене продажи).</w:t>
      </w:r>
    </w:p>
    <w:p w14:paraId="38509DF0"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47.Реализация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w:t>
      </w:r>
    </w:p>
    <w:p w14:paraId="07C7E319"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48.Средства,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Федерации[19].</w:t>
      </w:r>
    </w:p>
    <w:p w14:paraId="1A5FE09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14:paraId="6B36F423"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49.Порядок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 от 16 июля 2007г. №447 (далее – Положение об учете).</w:t>
      </w:r>
    </w:p>
    <w:p w14:paraId="3640DE46"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50.Для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учета[20].</w:t>
      </w:r>
    </w:p>
    <w:p w14:paraId="719BEB2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51.Непредставление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19.7.12.Кодекса Российской Федерации об административных правонарушениях).</w:t>
      </w:r>
    </w:p>
    <w:p w14:paraId="0598710A"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52.Учет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2011г. №424.</w:t>
      </w:r>
    </w:p>
    <w:p w14:paraId="44353F82"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14:paraId="49D244E1"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53.Учитывая,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14:paraId="22A93FBC"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54.У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14:paraId="51FEDA86"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55.Расходы,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НКРФ).</w:t>
      </w:r>
    </w:p>
    <w:p w14:paraId="39122E9B"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56.При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14:paraId="0992C7AE"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57.В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14:paraId="5F0309BE" w14:textId="77777777" w:rsidR="00D37105" w:rsidRDefault="00D37105" w:rsidP="00D37105">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br/>
        <w:t>[1]Часть вторая статья 575</w:t>
      </w:r>
      <w:r>
        <w:rPr>
          <w:rFonts w:ascii="Roboto" w:hAnsi="Roboto"/>
          <w:color w:val="3C3C3C"/>
          <w:sz w:val="27"/>
          <w:szCs w:val="27"/>
        </w:rPr>
        <w:br/>
        <w:t>[2] Пунктом 4 части 4 статьи 3491 Трудового кодекса Российской Федерации для данной категории лиц предусмотрено исключение из рассматриваемого запрета</w:t>
      </w:r>
      <w:r>
        <w:rPr>
          <w:rFonts w:ascii="Roboto" w:hAnsi="Roboto"/>
          <w:color w:val="3C3C3C"/>
          <w:sz w:val="27"/>
          <w:szCs w:val="27"/>
        </w:rPr>
        <w:br/>
        <w:t>[3] Пункт 5 Типового положения</w:t>
      </w:r>
      <w:r>
        <w:rPr>
          <w:rFonts w:ascii="Roboto" w:hAnsi="Roboto"/>
          <w:color w:val="3C3C3C"/>
          <w:sz w:val="27"/>
          <w:szCs w:val="27"/>
        </w:rPr>
        <w:br/>
        <w:t>[4] Пункты 4, 6 Типового положения</w:t>
      </w:r>
      <w:r>
        <w:rPr>
          <w:rFonts w:ascii="Roboto" w:hAnsi="Roboto"/>
          <w:color w:val="3C3C3C"/>
          <w:sz w:val="27"/>
          <w:szCs w:val="27"/>
        </w:rPr>
        <w:br/>
        <w:t>[5]Пункт 5 Типового положения</w:t>
      </w:r>
      <w:r>
        <w:rPr>
          <w:rFonts w:ascii="Roboto" w:hAnsi="Roboto"/>
          <w:color w:val="3C3C3C"/>
          <w:sz w:val="27"/>
          <w:szCs w:val="27"/>
        </w:rPr>
        <w:br/>
        <w:t>[6]Пункт 7 Типового положения</w:t>
      </w:r>
      <w:r>
        <w:rPr>
          <w:rFonts w:ascii="Roboto" w:hAnsi="Roboto"/>
          <w:color w:val="3C3C3C"/>
          <w:sz w:val="27"/>
          <w:szCs w:val="27"/>
        </w:rPr>
        <w:br/>
        <w:t>[7]Пункт 6 Типового положения</w:t>
      </w:r>
      <w:r>
        <w:rPr>
          <w:rFonts w:ascii="Roboto" w:hAnsi="Roboto"/>
          <w:color w:val="3C3C3C"/>
          <w:sz w:val="27"/>
          <w:szCs w:val="27"/>
        </w:rPr>
        <w:br/>
        <w:t>[8]Пункт 7 Типового положения</w:t>
      </w:r>
      <w:r>
        <w:rPr>
          <w:rFonts w:ascii="Roboto" w:hAnsi="Roboto"/>
          <w:color w:val="3C3C3C"/>
          <w:sz w:val="27"/>
          <w:szCs w:val="27"/>
        </w:rPr>
        <w:br/>
        <w:t>[9] Пункт 8 Типового положения</w:t>
      </w:r>
      <w:r>
        <w:rPr>
          <w:rFonts w:ascii="Roboto" w:hAnsi="Roboto"/>
          <w:color w:val="3C3C3C"/>
          <w:sz w:val="27"/>
          <w:szCs w:val="27"/>
        </w:rPr>
        <w:br/>
        <w:t>[10]Пункт 7 Типового положения</w:t>
      </w:r>
      <w:r>
        <w:rPr>
          <w:rFonts w:ascii="Roboto" w:hAnsi="Roboto"/>
          <w:color w:val="3C3C3C"/>
          <w:sz w:val="27"/>
          <w:szCs w:val="27"/>
        </w:rPr>
        <w:br/>
        <w:t>[11] Пункт 2 распоряжение Президента Российской Федерации № 159-рп</w:t>
      </w:r>
      <w:r>
        <w:rPr>
          <w:rFonts w:ascii="Roboto" w:hAnsi="Roboto"/>
          <w:color w:val="3C3C3C"/>
          <w:sz w:val="27"/>
          <w:szCs w:val="27"/>
        </w:rPr>
        <w:br/>
        <w:t>[12]Пункт 9 Типового положения</w:t>
      </w:r>
      <w:r>
        <w:rPr>
          <w:rFonts w:ascii="Roboto" w:hAnsi="Roboto"/>
          <w:color w:val="3C3C3C"/>
          <w:sz w:val="27"/>
          <w:szCs w:val="27"/>
        </w:rPr>
        <w:br/>
        <w:t>[13]Пункт 12 Типового положения</w:t>
      </w:r>
      <w:r>
        <w:rPr>
          <w:rFonts w:ascii="Roboto" w:hAnsi="Roboto"/>
          <w:color w:val="3C3C3C"/>
          <w:sz w:val="27"/>
          <w:szCs w:val="27"/>
        </w:rPr>
        <w:br/>
        <w:t>[14]Пункт 16 Типового положения</w:t>
      </w:r>
      <w:r>
        <w:rPr>
          <w:rFonts w:ascii="Roboto" w:hAnsi="Roboto"/>
          <w:color w:val="3C3C3C"/>
          <w:sz w:val="27"/>
          <w:szCs w:val="27"/>
        </w:rPr>
        <w:br/>
        <w:t>[15]Пункт 13 Типового положения</w:t>
      </w:r>
      <w:r>
        <w:rPr>
          <w:rFonts w:ascii="Roboto" w:hAnsi="Roboto"/>
          <w:color w:val="3C3C3C"/>
          <w:sz w:val="27"/>
          <w:szCs w:val="27"/>
        </w:rPr>
        <w:br/>
        <w:t>[16]Пункт 13(1) Типового положения</w:t>
      </w:r>
      <w:r>
        <w:rPr>
          <w:rFonts w:ascii="Roboto" w:hAnsi="Roboto"/>
          <w:color w:val="3C3C3C"/>
          <w:sz w:val="27"/>
          <w:szCs w:val="27"/>
        </w:rPr>
        <w:br/>
        <w:t>[17]Пункт 14 Типового положения</w:t>
      </w:r>
      <w:r>
        <w:rPr>
          <w:rFonts w:ascii="Roboto" w:hAnsi="Roboto"/>
          <w:color w:val="3C3C3C"/>
          <w:sz w:val="27"/>
          <w:szCs w:val="27"/>
        </w:rPr>
        <w:br/>
        <w:t>[18]Пункты15, 17 Типового положения</w:t>
      </w:r>
      <w:r>
        <w:rPr>
          <w:rFonts w:ascii="Roboto" w:hAnsi="Roboto"/>
          <w:color w:val="3C3C3C"/>
          <w:sz w:val="27"/>
          <w:szCs w:val="27"/>
        </w:rPr>
        <w:br/>
      </w:r>
      <w:r>
        <w:rPr>
          <w:rFonts w:ascii="Roboto" w:hAnsi="Roboto"/>
          <w:color w:val="3C3C3C"/>
          <w:sz w:val="27"/>
          <w:szCs w:val="27"/>
        </w:rPr>
        <w:lastRenderedPageBreak/>
        <w:t>[19]Пункт 18 Типового положения</w:t>
      </w:r>
      <w:r>
        <w:rPr>
          <w:rFonts w:ascii="Roboto" w:hAnsi="Roboto"/>
          <w:color w:val="3C3C3C"/>
          <w:sz w:val="27"/>
          <w:szCs w:val="27"/>
        </w:rPr>
        <w:br/>
        <w:t>[20]Пункт 19 Положения об учете</w:t>
      </w:r>
    </w:p>
    <w:p w14:paraId="70BFD834" w14:textId="77777777" w:rsidR="00F12C76" w:rsidRDefault="00F12C76" w:rsidP="006C0B77">
      <w:pPr>
        <w:spacing w:after="0"/>
        <w:ind w:firstLine="709"/>
        <w:jc w:val="both"/>
      </w:pPr>
    </w:p>
    <w:sectPr w:rsidR="00F12C76" w:rsidSect="005B37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05"/>
    <w:rsid w:val="005B37A8"/>
    <w:rsid w:val="006C0B77"/>
    <w:rsid w:val="008242FF"/>
    <w:rsid w:val="00870751"/>
    <w:rsid w:val="00922C48"/>
    <w:rsid w:val="00B915B7"/>
    <w:rsid w:val="00D3710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868A"/>
  <w15:chartTrackingRefBased/>
  <w15:docId w15:val="{8030448E-B11B-4157-A470-2F4B560C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105"/>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D37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dm-voxtoma.ru/tinybrowser/fulls/images/korrupciya/5/image0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5201</Words>
  <Characters>29651</Characters>
  <Application>Microsoft Office Word</Application>
  <DocSecurity>0</DocSecurity>
  <Lines>247</Lines>
  <Paragraphs>69</Paragraphs>
  <ScaleCrop>false</ScaleCrop>
  <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2024-03-05T13:49:00Z</dcterms:created>
  <dcterms:modified xsi:type="dcterms:W3CDTF">2024-03-05T13:49:00Z</dcterms:modified>
</cp:coreProperties>
</file>